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1ED0" w14:textId="77777777" w:rsidR="006B269D" w:rsidRDefault="006B269D" w:rsidP="006B269D">
      <w:pPr>
        <w:pStyle w:val="Cmsor9"/>
        <w:numPr>
          <w:ilvl w:val="0"/>
          <w:numId w:val="2"/>
        </w:numPr>
        <w:tabs>
          <w:tab w:val="left" w:pos="0"/>
        </w:tabs>
        <w:ind w:right="3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számú melléklet</w:t>
      </w:r>
    </w:p>
    <w:p w14:paraId="190DD454" w14:textId="77777777" w:rsidR="006B269D" w:rsidRPr="000778BD" w:rsidRDefault="006B269D" w:rsidP="006B269D">
      <w:pPr>
        <w:pStyle w:val="Cmsor9"/>
        <w:numPr>
          <w:ilvl w:val="0"/>
          <w:numId w:val="0"/>
        </w:numPr>
        <w:tabs>
          <w:tab w:val="left" w:pos="0"/>
        </w:tabs>
        <w:ind w:right="39"/>
        <w:jc w:val="center"/>
        <w:rPr>
          <w:rFonts w:ascii="Times New Roman" w:hAnsi="Times New Roman"/>
          <w:b/>
        </w:rPr>
      </w:pPr>
      <w:r w:rsidRPr="000778BD">
        <w:rPr>
          <w:rFonts w:ascii="Times New Roman" w:hAnsi="Times New Roman"/>
          <w:b/>
        </w:rPr>
        <w:t>SEGÉDLET</w:t>
      </w:r>
    </w:p>
    <w:p w14:paraId="429747EC" w14:textId="77777777" w:rsidR="006B269D" w:rsidRPr="000778BD" w:rsidRDefault="006B269D" w:rsidP="006B269D">
      <w:pPr>
        <w:jc w:val="center"/>
      </w:pPr>
      <w:r w:rsidRPr="000778BD">
        <w:t>a békéltetető testületek szakmai és pénzügyi beszámolójának elkészítéséhez</w:t>
      </w:r>
    </w:p>
    <w:p w14:paraId="40AF056C" w14:textId="77777777" w:rsidR="006B269D" w:rsidRPr="000778BD" w:rsidRDefault="006B269D" w:rsidP="006B269D">
      <w:pPr>
        <w:jc w:val="center"/>
      </w:pPr>
      <w:r w:rsidRPr="000778BD">
        <w:t>(területi kamarák részére)</w:t>
      </w:r>
    </w:p>
    <w:p w14:paraId="156FCE2A" w14:textId="77777777" w:rsidR="006B269D" w:rsidRPr="000778BD" w:rsidRDefault="006B269D" w:rsidP="006B269D"/>
    <w:p w14:paraId="7D44D122" w14:textId="77777777" w:rsidR="006B269D" w:rsidRPr="000778BD" w:rsidRDefault="006B269D" w:rsidP="006B269D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B269D" w:rsidRPr="000778BD" w14:paraId="4B021240" w14:textId="77777777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18082D" w14:textId="77777777" w:rsidR="006B269D" w:rsidRPr="000778BD" w:rsidRDefault="006B269D" w:rsidP="006B269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Közreműködő</w:t>
            </w:r>
            <w:r w:rsidRPr="000778BD">
              <w:rPr>
                <w:iCs/>
                <w:sz w:val="20"/>
              </w:rPr>
              <w:t xml:space="preserve"> szervezet neve (támogatási szerződés szerint):</w:t>
            </w:r>
          </w:p>
          <w:p w14:paraId="38FE85E2" w14:textId="77777777" w:rsidR="006B269D" w:rsidRPr="000778BD" w:rsidRDefault="006B269D" w:rsidP="006B269D">
            <w:pPr>
              <w:rPr>
                <w:iCs/>
                <w:sz w:val="20"/>
              </w:rPr>
            </w:pPr>
            <w:r>
              <w:rPr>
                <w:iCs/>
              </w:rPr>
              <w:t>Somogyi Kereskedelmi és Iparkamara</w:t>
            </w:r>
          </w:p>
          <w:p w14:paraId="1762F949" w14:textId="77777777" w:rsidR="006B269D" w:rsidRPr="000778BD" w:rsidRDefault="006B269D" w:rsidP="006B269D">
            <w:pPr>
              <w:rPr>
                <w:iCs/>
                <w:sz w:val="20"/>
              </w:rPr>
            </w:pPr>
          </w:p>
        </w:tc>
      </w:tr>
      <w:tr w:rsidR="006B269D" w:rsidRPr="000778BD" w14:paraId="1E861B40" w14:textId="77777777">
        <w:trPr>
          <w:cantSplit/>
        </w:trPr>
        <w:tc>
          <w:tcPr>
            <w:tcW w:w="5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9830BF3" w14:textId="77777777" w:rsidR="006B269D" w:rsidRPr="000778BD" w:rsidRDefault="006B269D" w:rsidP="006B269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Közreműködő</w:t>
            </w:r>
            <w:r w:rsidRPr="000778BD">
              <w:rPr>
                <w:iCs/>
                <w:sz w:val="20"/>
              </w:rPr>
              <w:t xml:space="preserve"> szervezet címe:</w:t>
            </w:r>
          </w:p>
          <w:p w14:paraId="236E35EE" w14:textId="77777777" w:rsidR="006B269D" w:rsidRPr="000778BD" w:rsidRDefault="006B269D" w:rsidP="006B269D">
            <w:pPr>
              <w:rPr>
                <w:iCs/>
                <w:sz w:val="20"/>
              </w:rPr>
            </w:pPr>
            <w:r>
              <w:rPr>
                <w:iCs/>
              </w:rPr>
              <w:t>7400 Kaposvár, Anna u. 6.</w:t>
            </w:r>
          </w:p>
          <w:p w14:paraId="5617BE55" w14:textId="77777777" w:rsidR="006B269D" w:rsidRPr="000778BD" w:rsidRDefault="006B269D" w:rsidP="006B269D">
            <w:pPr>
              <w:rPr>
                <w:iCs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7ED98AB" w14:textId="77777777" w:rsidR="006B269D" w:rsidRPr="000778BD" w:rsidRDefault="006B269D" w:rsidP="006B269D">
            <w:pPr>
              <w:pStyle w:val="Szvegtrzs"/>
              <w:rPr>
                <w:i/>
                <w:iCs/>
              </w:rPr>
            </w:pPr>
            <w:r w:rsidRPr="000778BD">
              <w:rPr>
                <w:iCs/>
              </w:rPr>
              <w:t>Levelezési címe:</w:t>
            </w:r>
          </w:p>
          <w:p w14:paraId="2106D780" w14:textId="77777777" w:rsidR="006B269D" w:rsidRPr="000778BD" w:rsidRDefault="006B269D" w:rsidP="006B269D">
            <w:pPr>
              <w:rPr>
                <w:iCs/>
                <w:sz w:val="20"/>
              </w:rPr>
            </w:pPr>
            <w:r>
              <w:rPr>
                <w:iCs/>
              </w:rPr>
              <w:t>7400 Kaposvár, Anna u. 6.</w:t>
            </w:r>
          </w:p>
        </w:tc>
      </w:tr>
      <w:tr w:rsidR="006B269D" w:rsidRPr="000778BD" w14:paraId="35D347C2" w14:textId="77777777">
        <w:tc>
          <w:tcPr>
            <w:tcW w:w="56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D0203F" w14:textId="77777777" w:rsidR="006B269D" w:rsidRPr="000778BD" w:rsidRDefault="006B269D" w:rsidP="006B269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Közreműködő</w:t>
            </w:r>
            <w:r w:rsidRPr="000778BD">
              <w:rPr>
                <w:iCs/>
                <w:sz w:val="20"/>
              </w:rPr>
              <w:t xml:space="preserve"> szervezet (vagy számlatulajdonos) bankszámlaszáma:</w:t>
            </w:r>
          </w:p>
          <w:p w14:paraId="6071DAFD" w14:textId="77777777" w:rsidR="006B269D" w:rsidRPr="000778BD" w:rsidRDefault="006B269D" w:rsidP="006B269D">
            <w:pPr>
              <w:rPr>
                <w:iCs/>
                <w:sz w:val="20"/>
              </w:rPr>
            </w:pPr>
          </w:p>
          <w:p w14:paraId="0AEB0E67" w14:textId="77777777" w:rsidR="006B269D" w:rsidRPr="000765AD" w:rsidRDefault="006B269D" w:rsidP="006B269D">
            <w:pPr>
              <w:rPr>
                <w:iCs/>
              </w:rPr>
            </w:pPr>
            <w:r>
              <w:rPr>
                <w:iCs/>
              </w:rPr>
              <w:t>18203057-00124827-40010010</w:t>
            </w:r>
          </w:p>
          <w:p w14:paraId="76944DDF" w14:textId="77777777" w:rsidR="006B269D" w:rsidRPr="000778BD" w:rsidRDefault="006B269D" w:rsidP="006B269D">
            <w:pPr>
              <w:rPr>
                <w:iCs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7C56A7" w14:textId="77777777" w:rsidR="006B269D" w:rsidRPr="000778BD" w:rsidRDefault="006B269D" w:rsidP="006B269D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Közreműködő</w:t>
            </w:r>
            <w:r w:rsidRPr="000778BD">
              <w:rPr>
                <w:sz w:val="20"/>
              </w:rPr>
              <w:t xml:space="preserve"> adószáma:</w:t>
            </w:r>
          </w:p>
          <w:p w14:paraId="67151B35" w14:textId="77777777" w:rsidR="006B269D" w:rsidRPr="000778BD" w:rsidRDefault="006B269D" w:rsidP="006B269D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FC1B897" w14:textId="77777777" w:rsidR="006B269D" w:rsidRPr="000778BD" w:rsidRDefault="006B269D" w:rsidP="006B269D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t>18761755-2-14</w:t>
            </w:r>
          </w:p>
        </w:tc>
      </w:tr>
      <w:tr w:rsidR="006B269D" w:rsidRPr="000778BD" w14:paraId="65738098" w14:textId="77777777">
        <w:trPr>
          <w:trHeight w:val="452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5749B39" w14:textId="77777777" w:rsidR="006B269D" w:rsidRPr="000778BD" w:rsidRDefault="006B269D" w:rsidP="006B269D">
            <w:pPr>
              <w:rPr>
                <w:iCs/>
                <w:position w:val="-6"/>
                <w:sz w:val="20"/>
              </w:rPr>
            </w:pPr>
            <w:r w:rsidRPr="000778BD">
              <w:rPr>
                <w:position w:val="-6"/>
                <w:sz w:val="20"/>
              </w:rPr>
              <w:t xml:space="preserve">Szerződés </w:t>
            </w:r>
            <w:proofErr w:type="gramStart"/>
            <w:r w:rsidRPr="000778BD">
              <w:rPr>
                <w:position w:val="-6"/>
                <w:sz w:val="20"/>
              </w:rPr>
              <w:t>szám:</w:t>
            </w:r>
            <w:r>
              <w:rPr>
                <w:position w:val="-6"/>
                <w:sz w:val="20"/>
              </w:rPr>
              <w:t xml:space="preserve">  </w:t>
            </w:r>
            <w:r w:rsidRPr="000778BD">
              <w:t>NGM</w:t>
            </w:r>
            <w:proofErr w:type="gramEnd"/>
            <w:r w:rsidRPr="000778BD">
              <w:t>_SZERZ/</w:t>
            </w:r>
            <w:r>
              <w:t>75</w:t>
            </w:r>
            <w:r w:rsidRPr="000778BD">
              <w:t>/201</w:t>
            </w:r>
            <w:r>
              <w:t>4.</w:t>
            </w:r>
          </w:p>
        </w:tc>
      </w:tr>
      <w:tr w:rsidR="006B269D" w:rsidRPr="000778BD" w14:paraId="7F641373" w14:textId="77777777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2B7A" w14:textId="77777777" w:rsidR="006B269D" w:rsidRPr="000778BD" w:rsidRDefault="006B269D" w:rsidP="006B269D">
            <w:pPr>
              <w:rPr>
                <w:b/>
                <w:iCs/>
                <w:sz w:val="20"/>
              </w:rPr>
            </w:pPr>
            <w:r w:rsidRPr="000778BD">
              <w:rPr>
                <w:iCs/>
                <w:sz w:val="20"/>
              </w:rPr>
              <w:t xml:space="preserve">A megvalósított feladat címe: </w:t>
            </w:r>
            <w:r w:rsidRPr="000778BD">
              <w:rPr>
                <w:b/>
                <w:iCs/>
                <w:sz w:val="20"/>
              </w:rPr>
              <w:t>A területi gazdasági kamarák mellett működő független békéltető testületek 201</w:t>
            </w:r>
            <w:r>
              <w:rPr>
                <w:b/>
                <w:iCs/>
                <w:sz w:val="20"/>
              </w:rPr>
              <w:t>4</w:t>
            </w:r>
            <w:r w:rsidRPr="000778BD">
              <w:rPr>
                <w:b/>
                <w:iCs/>
                <w:sz w:val="20"/>
              </w:rPr>
              <w:t>. évi működtetési kiadásokhoz és költségekhez pénzügyi támogatás nyújtása</w:t>
            </w:r>
          </w:p>
          <w:p w14:paraId="2FA59C25" w14:textId="77777777" w:rsidR="006B269D" w:rsidRPr="000778BD" w:rsidRDefault="006B269D" w:rsidP="006B269D">
            <w:pPr>
              <w:rPr>
                <w:iCs/>
                <w:sz w:val="20"/>
              </w:rPr>
            </w:pPr>
          </w:p>
        </w:tc>
      </w:tr>
    </w:tbl>
    <w:p w14:paraId="3D4B2514" w14:textId="77777777" w:rsidR="006B269D" w:rsidRPr="000778BD" w:rsidRDefault="006B269D" w:rsidP="006B269D">
      <w:pPr>
        <w:tabs>
          <w:tab w:val="left" w:pos="1576"/>
        </w:tabs>
        <w:rPr>
          <w:iCs/>
          <w:sz w:val="20"/>
        </w:rPr>
      </w:pPr>
    </w:p>
    <w:p w14:paraId="06DA4550" w14:textId="77777777" w:rsidR="006B269D" w:rsidRPr="000778BD" w:rsidRDefault="006B269D" w:rsidP="006B269D">
      <w:pPr>
        <w:jc w:val="center"/>
        <w:rPr>
          <w:sz w:val="20"/>
        </w:rPr>
      </w:pPr>
    </w:p>
    <w:p w14:paraId="7EA1C7C1" w14:textId="77777777" w:rsidR="006B269D" w:rsidRPr="000778BD" w:rsidRDefault="006B269D" w:rsidP="006B269D">
      <w:pPr>
        <w:jc w:val="center"/>
        <w:rPr>
          <w:b/>
        </w:rPr>
      </w:pPr>
      <w:r w:rsidRPr="000778BD">
        <w:rPr>
          <w:b/>
        </w:rPr>
        <w:t>I. rész</w:t>
      </w:r>
    </w:p>
    <w:p w14:paraId="1F793213" w14:textId="77777777" w:rsidR="006B269D" w:rsidRPr="000778BD" w:rsidRDefault="006B269D" w:rsidP="006B269D">
      <w:pPr>
        <w:rPr>
          <w:sz w:val="20"/>
        </w:rPr>
      </w:pPr>
    </w:p>
    <w:p w14:paraId="0782B93B" w14:textId="77777777" w:rsidR="006B269D" w:rsidRPr="000778BD" w:rsidRDefault="006B269D" w:rsidP="006B269D">
      <w:pPr>
        <w:jc w:val="center"/>
        <w:rPr>
          <w:b/>
          <w:bCs/>
        </w:rPr>
      </w:pPr>
      <w:r w:rsidRPr="000778BD">
        <w:rPr>
          <w:b/>
          <w:bCs/>
        </w:rPr>
        <w:t>Szakmai beszámoló</w:t>
      </w:r>
    </w:p>
    <w:p w14:paraId="3D08B3FF" w14:textId="77777777" w:rsidR="006B269D" w:rsidRPr="000778BD" w:rsidRDefault="006B269D" w:rsidP="006B269D">
      <w:pPr>
        <w:jc w:val="center"/>
        <w:rPr>
          <w:b/>
          <w:bCs/>
        </w:rPr>
      </w:pPr>
      <w:r>
        <w:rPr>
          <w:b/>
          <w:bCs/>
        </w:rPr>
        <w:t>Somogy megyei b</w:t>
      </w:r>
      <w:r w:rsidRPr="000778BD">
        <w:rPr>
          <w:b/>
          <w:bCs/>
        </w:rPr>
        <w:t>ékéltető testület 201</w:t>
      </w:r>
      <w:r>
        <w:rPr>
          <w:b/>
          <w:bCs/>
        </w:rPr>
        <w:t>4</w:t>
      </w:r>
      <w:r w:rsidRPr="000778BD">
        <w:rPr>
          <w:b/>
          <w:bCs/>
        </w:rPr>
        <w:t xml:space="preserve">. </w:t>
      </w:r>
      <w:r>
        <w:rPr>
          <w:b/>
          <w:bCs/>
        </w:rPr>
        <w:t xml:space="preserve">január 1-december 31-ig tartó </w:t>
      </w:r>
      <w:r w:rsidRPr="000778BD">
        <w:rPr>
          <w:b/>
          <w:bCs/>
        </w:rPr>
        <w:t>finanszírozási időszakaiban végzett tevékenységéről</w:t>
      </w:r>
    </w:p>
    <w:p w14:paraId="11EE13E2" w14:textId="77777777" w:rsidR="006B269D" w:rsidRDefault="006B269D" w:rsidP="006B269D">
      <w:pPr>
        <w:rPr>
          <w:b/>
          <w:sz w:val="20"/>
        </w:rPr>
      </w:pP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6"/>
      </w:tblGrid>
      <w:tr w:rsidR="006B269D" w:rsidRPr="000778BD" w14:paraId="1A0B2756" w14:textId="77777777">
        <w:trPr>
          <w:cantSplit/>
        </w:trPr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7D7B32" w14:textId="77777777" w:rsidR="006B269D" w:rsidRPr="000778BD" w:rsidRDefault="006B269D" w:rsidP="006B269D">
            <w:pPr>
              <w:pStyle w:val="Szvegtrzsbehzssal1"/>
              <w:ind w:left="57"/>
              <w:rPr>
                <w:sz w:val="20"/>
              </w:rPr>
            </w:pPr>
            <w:r w:rsidRPr="000778BD">
              <w:rPr>
                <w:sz w:val="20"/>
              </w:rPr>
              <w:t>A szakmai beszámolót készítő személy neve:</w:t>
            </w:r>
          </w:p>
          <w:p w14:paraId="69EC32E9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</w:rPr>
              <w:t>Dr. Novák Ferenc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9F754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  <w:r w:rsidRPr="000778BD">
              <w:rPr>
                <w:bCs/>
                <w:i/>
                <w:iCs/>
                <w:sz w:val="20"/>
              </w:rPr>
              <w:t>A beszámolót készítő személy telefonszáma:</w:t>
            </w:r>
          </w:p>
          <w:p w14:paraId="6D420D75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</w:rPr>
              <w:t>82/315-086</w:t>
            </w:r>
          </w:p>
        </w:tc>
      </w:tr>
      <w:tr w:rsidR="006B269D" w:rsidRPr="000778BD" w14:paraId="2D420EA7" w14:textId="77777777">
        <w:trPr>
          <w:cantSplit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F0BC06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A0B59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</w:p>
        </w:tc>
      </w:tr>
    </w:tbl>
    <w:p w14:paraId="5A38F4C8" w14:textId="77777777" w:rsidR="006B269D" w:rsidRPr="000778BD" w:rsidRDefault="006B269D" w:rsidP="006B269D">
      <w:pPr>
        <w:tabs>
          <w:tab w:val="left" w:pos="10602"/>
        </w:tabs>
        <w:ind w:right="882"/>
        <w:jc w:val="both"/>
        <w:rPr>
          <w:b/>
          <w:sz w:val="20"/>
        </w:rPr>
      </w:pPr>
      <w:r w:rsidRPr="000778BD">
        <w:rPr>
          <w:b/>
          <w:sz w:val="20"/>
        </w:rPr>
        <w:t xml:space="preserve">A statisztikai adatlapok kitöltése és a részletes szöveges szakmai beszámoló elkészítése minden egyes (szerződésben előre meghatározott) finanszírozási időszakban benyújtott beszámolóhoz szükséges. Az adatlapokat a </w:t>
      </w:r>
      <w:hyperlink r:id="rId7" w:history="1">
        <w:r w:rsidRPr="000778BD">
          <w:rPr>
            <w:rStyle w:val="Hiperhivatkozs"/>
            <w:b/>
            <w:sz w:val="20"/>
          </w:rPr>
          <w:t>www.bekeltetes.hu</w:t>
        </w:r>
      </w:hyperlink>
      <w:r w:rsidRPr="000778BD">
        <w:rPr>
          <w:b/>
          <w:sz w:val="20"/>
        </w:rPr>
        <w:t xml:space="preserve"> honlapon lévő program használatával kell kitölteni. Amennyiben az adott finanszírozási időszakban a kérdés nem releváns, kérjük, nyilatkozzanak erről (pl. promóciót nem valósítottak meg a kérdéses időszakban). A válaszoknál a sorok bővíthetők.</w:t>
      </w:r>
    </w:p>
    <w:p w14:paraId="56138DDF" w14:textId="77777777" w:rsidR="006B269D" w:rsidRPr="000778BD" w:rsidRDefault="006B269D" w:rsidP="006B269D">
      <w:pPr>
        <w:rPr>
          <w:b/>
          <w:sz w:val="20"/>
        </w:rPr>
      </w:pP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  <w:gridCol w:w="28"/>
      </w:tblGrid>
      <w:tr w:rsidR="006B269D" w:rsidRPr="000778BD" w14:paraId="132A677B" w14:textId="77777777">
        <w:trPr>
          <w:cantSplit/>
          <w:trHeight w:val="39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368F75" w14:textId="77777777" w:rsidR="006B269D" w:rsidRPr="00BE077E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BE077E">
              <w:rPr>
                <w:b/>
                <w:bCs/>
                <w:i/>
                <w:iCs/>
                <w:sz w:val="20"/>
                <w:highlight w:val="lightGray"/>
              </w:rPr>
              <w:t>1. Ismertesse 201</w:t>
            </w:r>
            <w:r>
              <w:rPr>
                <w:b/>
                <w:bCs/>
                <w:i/>
                <w:iCs/>
                <w:sz w:val="20"/>
                <w:highlight w:val="lightGray"/>
              </w:rPr>
              <w:t>4</w:t>
            </w:r>
            <w:r w:rsidRPr="00BE077E">
              <w:rPr>
                <w:b/>
                <w:bCs/>
                <w:i/>
                <w:iCs/>
                <w:sz w:val="20"/>
                <w:highlight w:val="lightGray"/>
              </w:rPr>
              <w:t>. évhez/előző finanszírozási időszakhoz képest a testületben történt lényegesebb változásokat! (A testület létszáma, összetétele, működési feltételei, stb.)</w:t>
            </w:r>
          </w:p>
        </w:tc>
      </w:tr>
      <w:tr w:rsidR="006B269D" w:rsidRPr="000778BD" w14:paraId="464BA082" w14:textId="77777777">
        <w:trPr>
          <w:cantSplit/>
          <w:trHeight w:val="8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8358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A testület létszáma és </w:t>
            </w:r>
            <w:proofErr w:type="gramStart"/>
            <w:r>
              <w:rPr>
                <w:bCs/>
                <w:i/>
                <w:iCs/>
                <w:sz w:val="20"/>
              </w:rPr>
              <w:t>összetétele  a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201</w:t>
            </w:r>
            <w:r w:rsidR="006963C2">
              <w:rPr>
                <w:bCs/>
                <w:i/>
                <w:iCs/>
                <w:sz w:val="20"/>
              </w:rPr>
              <w:t>3</w:t>
            </w:r>
            <w:r>
              <w:rPr>
                <w:bCs/>
                <w:i/>
                <w:iCs/>
                <w:sz w:val="20"/>
              </w:rPr>
              <w:t>. évhez képest  nem változott</w:t>
            </w:r>
            <w:r w:rsidR="006963C2">
              <w:rPr>
                <w:bCs/>
                <w:i/>
                <w:iCs/>
                <w:sz w:val="20"/>
              </w:rPr>
              <w:t xml:space="preserve">: 12 </w:t>
            </w:r>
            <w:proofErr w:type="spellStart"/>
            <w:r w:rsidR="006963C2">
              <w:rPr>
                <w:bCs/>
                <w:i/>
                <w:iCs/>
                <w:sz w:val="20"/>
              </w:rPr>
              <w:t>tagú</w:t>
            </w:r>
            <w:r>
              <w:rPr>
                <w:bCs/>
                <w:i/>
                <w:iCs/>
                <w:sz w:val="20"/>
              </w:rPr>
              <w:t>.</w:t>
            </w:r>
            <w:r w:rsidR="006963C2">
              <w:rPr>
                <w:bCs/>
                <w:i/>
                <w:iCs/>
                <w:sz w:val="20"/>
              </w:rPr>
              <w:t>A</w:t>
            </w:r>
            <w:proofErr w:type="spellEnd"/>
            <w:r w:rsidR="006963C2">
              <w:rPr>
                <w:bCs/>
                <w:i/>
                <w:iCs/>
                <w:sz w:val="20"/>
              </w:rPr>
              <w:t xml:space="preserve"> m</w:t>
            </w:r>
            <w:r>
              <w:rPr>
                <w:bCs/>
                <w:i/>
                <w:iCs/>
                <w:sz w:val="20"/>
              </w:rPr>
              <w:t>űködési feltétele</w:t>
            </w:r>
            <w:r w:rsidR="006963C2">
              <w:rPr>
                <w:bCs/>
                <w:i/>
                <w:iCs/>
                <w:sz w:val="20"/>
              </w:rPr>
              <w:t xml:space="preserve">k </w:t>
            </w:r>
            <w:r>
              <w:rPr>
                <w:bCs/>
                <w:i/>
                <w:iCs/>
                <w:sz w:val="20"/>
              </w:rPr>
              <w:t xml:space="preserve"> is változatlanul megfelelőek</w:t>
            </w:r>
            <w:r w:rsidR="006963C2">
              <w:rPr>
                <w:bCs/>
                <w:i/>
                <w:iCs/>
                <w:sz w:val="20"/>
              </w:rPr>
              <w:t xml:space="preserve"> voltak, a kamara minden eszközt biztosított, a tagok díjazását, a technikai kiadásokat megelőlegezte. </w:t>
            </w:r>
          </w:p>
        </w:tc>
      </w:tr>
      <w:tr w:rsidR="006B269D" w:rsidRPr="000778BD" w14:paraId="2945FAD7" w14:textId="77777777">
        <w:trPr>
          <w:cantSplit/>
          <w:trHeight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7763" w14:textId="77777777" w:rsidR="006B269D" w:rsidRPr="00BE077E" w:rsidRDefault="006B269D" w:rsidP="006B269D">
            <w:pPr>
              <w:tabs>
                <w:tab w:val="left" w:pos="5490"/>
              </w:tabs>
              <w:rPr>
                <w:b/>
                <w:bCs/>
                <w:i/>
                <w:iCs/>
                <w:sz w:val="20"/>
                <w:highlight w:val="lightGray"/>
              </w:rPr>
            </w:pPr>
            <w:r w:rsidRPr="00BE077E">
              <w:rPr>
                <w:b/>
                <w:bCs/>
                <w:i/>
                <w:iCs/>
                <w:sz w:val="20"/>
                <w:highlight w:val="lightGray"/>
              </w:rPr>
              <w:t>2. Szövegesen értékelje a statisztikai adatokat! A 2.1.-2.3 kérdések megválaszolása során mutassa be az adatok mögötti eseményeket, tapasztalatokat, változások okait.</w:t>
            </w:r>
          </w:p>
        </w:tc>
      </w:tr>
      <w:tr w:rsidR="006B269D" w:rsidRPr="000778BD" w14:paraId="40A28338" w14:textId="77777777">
        <w:trPr>
          <w:cantSplit/>
          <w:trHeight w:val="71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D6D4" w14:textId="77777777" w:rsidR="006B269D" w:rsidRPr="000778BD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Az ügyek száma </w:t>
            </w:r>
            <w:r w:rsidR="00F5491D">
              <w:rPr>
                <w:bCs/>
                <w:i/>
                <w:iCs/>
                <w:sz w:val="20"/>
              </w:rPr>
              <w:t>közel ¼-ével mérséklődött a 2013. „rekord”-hoz</w:t>
            </w:r>
            <w:r w:rsidR="004C5C28">
              <w:rPr>
                <w:bCs/>
                <w:i/>
                <w:iCs/>
                <w:sz w:val="20"/>
              </w:rPr>
              <w:t xml:space="preserve"> (272)</w:t>
            </w:r>
            <w:r w:rsidR="00F5491D">
              <w:rPr>
                <w:bCs/>
                <w:i/>
                <w:iCs/>
                <w:sz w:val="20"/>
              </w:rPr>
              <w:t xml:space="preserve"> képest: 195 ügyet zárt le a testület. Ez megfelelt a korábbi esztendők átlagának. Ennek okát az időközben hatályba lépett új fogyasztóvédelmi jogszabályok – fogyasztói csoportokról, termékbemutatókról, rezsicsökkentésről, stb. – </w:t>
            </w:r>
            <w:proofErr w:type="gramStart"/>
            <w:r w:rsidR="00F5491D">
              <w:rPr>
                <w:bCs/>
                <w:i/>
                <w:iCs/>
                <w:sz w:val="20"/>
              </w:rPr>
              <w:t>közvetlen  hatásaiban</w:t>
            </w:r>
            <w:proofErr w:type="gramEnd"/>
            <w:r w:rsidR="00F5491D">
              <w:rPr>
                <w:bCs/>
                <w:i/>
                <w:iCs/>
                <w:sz w:val="20"/>
              </w:rPr>
              <w:t xml:space="preserve"> láttuk. Továbbra is</w:t>
            </w:r>
            <w:r>
              <w:rPr>
                <w:bCs/>
                <w:i/>
                <w:iCs/>
                <w:sz w:val="20"/>
              </w:rPr>
              <w:t xml:space="preserve"> a természetes </w:t>
            </w:r>
            <w:proofErr w:type="gramStart"/>
            <w:r>
              <w:rPr>
                <w:bCs/>
                <w:i/>
                <w:iCs/>
                <w:sz w:val="20"/>
              </w:rPr>
              <w:t>személyek  a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kérelme</w:t>
            </w:r>
            <w:r w:rsidR="00F5491D">
              <w:rPr>
                <w:bCs/>
                <w:i/>
                <w:iCs/>
                <w:sz w:val="20"/>
              </w:rPr>
              <w:t>ző</w:t>
            </w:r>
            <w:r>
              <w:rPr>
                <w:bCs/>
                <w:i/>
                <w:iCs/>
                <w:sz w:val="20"/>
              </w:rPr>
              <w:t>k többség</w:t>
            </w:r>
            <w:r w:rsidR="00F5491D">
              <w:rPr>
                <w:bCs/>
                <w:i/>
                <w:iCs/>
                <w:sz w:val="20"/>
              </w:rPr>
              <w:t xml:space="preserve">e, (184 ügy) </w:t>
            </w:r>
            <w:r>
              <w:rPr>
                <w:bCs/>
                <w:i/>
                <w:iCs/>
                <w:sz w:val="20"/>
              </w:rPr>
              <w:t xml:space="preserve"> vállalkozáso</w:t>
            </w:r>
            <w:r w:rsidR="00F5491D">
              <w:rPr>
                <w:bCs/>
                <w:i/>
                <w:iCs/>
                <w:sz w:val="20"/>
              </w:rPr>
              <w:t>k (7 ügy)</w:t>
            </w:r>
            <w:r>
              <w:rPr>
                <w:bCs/>
                <w:i/>
                <w:iCs/>
                <w:sz w:val="20"/>
              </w:rPr>
              <w:t>,</w:t>
            </w:r>
            <w:r w:rsidR="00F5491D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 xml:space="preserve"> lakóközösségek</w:t>
            </w:r>
            <w:r w:rsidR="00F5491D">
              <w:rPr>
                <w:bCs/>
                <w:i/>
                <w:iCs/>
                <w:sz w:val="20"/>
              </w:rPr>
              <w:t>(4 ügy)</w:t>
            </w:r>
            <w:r w:rsidR="004C5C28">
              <w:rPr>
                <w:bCs/>
                <w:i/>
                <w:iCs/>
                <w:sz w:val="20"/>
              </w:rPr>
              <w:t xml:space="preserve">. Civil szervezettől, egyháztól nem érkezett beadvány. Emelkedett a nehéz szociális helyzetre hivatkozás a közmű-szolgáltatási díjak mérséklését, elengedését célzó kérelmeknél, aránylag sok villamos mérőóra – plombahiány miatt kiszabott kötbér vitát tárgyalt a testület. </w:t>
            </w:r>
          </w:p>
        </w:tc>
      </w:tr>
      <w:tr w:rsidR="006B269D" w:rsidRPr="000778BD" w14:paraId="7ADD6737" w14:textId="77777777">
        <w:trPr>
          <w:cantSplit/>
          <w:trHeight w:val="71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0CD17" w14:textId="77777777" w:rsidR="006B269D" w:rsidRPr="000778BD" w:rsidRDefault="006B269D" w:rsidP="006B269D">
            <w:pPr>
              <w:pBdr>
                <w:bottom w:val="single" w:sz="4" w:space="1" w:color="auto"/>
              </w:pBdr>
              <w:jc w:val="both"/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lastRenderedPageBreak/>
              <w:t>2.1. A ügyek tárgya szerinti bontásának megfelelően (M2 számú melléklet) ismertesse a főbb panasz okokat, milyen panaszok mögött húzódnak meg valószínűsíthetően nagyobb fogyasztói érdeksérelemre utaló jelenségek, e tekintetben volt e változás az előző finanszírozási időszakhoz képest, előfordultak-e, s ha igen milyen korábban nem tapasztalt problémák, panaszok. A problémák leküzdése érdekében milyen intézkedéseket javasolnak (jogszabály-módosítás, egyeztetés az érintett szakmai érdekképviseleti szervezetekkel, fogyasztók tájékoztatása, fokozottabb hatósági fellépés, stb.)</w:t>
            </w:r>
          </w:p>
          <w:p w14:paraId="0F18CBB7" w14:textId="77777777" w:rsidR="006B269D" w:rsidRDefault="006B269D" w:rsidP="006B269D">
            <w:pPr>
              <w:jc w:val="both"/>
              <w:rPr>
                <w:bCs/>
                <w:i/>
                <w:iCs/>
                <w:sz w:val="20"/>
              </w:rPr>
            </w:pPr>
            <w:r w:rsidRPr="000F2165">
              <w:rPr>
                <w:bCs/>
                <w:i/>
                <w:iCs/>
                <w:sz w:val="20"/>
              </w:rPr>
              <w:t>A panaszok</w:t>
            </w:r>
            <w:r>
              <w:rPr>
                <w:bCs/>
                <w:i/>
                <w:iCs/>
                <w:sz w:val="20"/>
              </w:rPr>
              <w:t xml:space="preserve"> </w:t>
            </w:r>
            <w:proofErr w:type="gramStart"/>
            <w:r w:rsidR="004C5C28">
              <w:rPr>
                <w:bCs/>
                <w:i/>
                <w:iCs/>
                <w:sz w:val="20"/>
              </w:rPr>
              <w:t>közel</w:t>
            </w:r>
            <w:r w:rsidRPr="000F2165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 xml:space="preserve"> egyharmadát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a hibás</w:t>
            </w:r>
            <w:r w:rsidR="004C5C28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>sportcipők miatt nyújtották be</w:t>
            </w:r>
            <w:r w:rsidR="004C5C28">
              <w:rPr>
                <w:bCs/>
                <w:i/>
                <w:iCs/>
                <w:sz w:val="20"/>
              </w:rPr>
              <w:t>, a híradástechnikai eszközök – telefonok, laptopok – garanciális javítása, az utólag bizonyíthatatlan hiba okok szintén nagy számban fordultak elő. Nőtt a nyílászárók, ablakcserék, építő- és más szakipari munkák gyenge minőségét</w:t>
            </w:r>
            <w:r w:rsidR="00D20719">
              <w:rPr>
                <w:bCs/>
                <w:i/>
                <w:iCs/>
                <w:sz w:val="20"/>
              </w:rPr>
              <w:t xml:space="preserve">, a használt gépkocsikat értékesítők trükkjeit, a hulladékszállítás aránytalan díjazását kifogásolók aránya. Szinte megszűnt a fogyasztói csoportokkal – ám alig mérséklődött a termékbemutatókon becsapottak által indított jogviták száma. </w:t>
            </w:r>
            <w:r>
              <w:rPr>
                <w:bCs/>
                <w:i/>
                <w:iCs/>
                <w:sz w:val="20"/>
              </w:rPr>
              <w:t xml:space="preserve"> </w:t>
            </w:r>
          </w:p>
          <w:p w14:paraId="454BF596" w14:textId="77777777" w:rsidR="006B269D" w:rsidRPr="000778BD" w:rsidRDefault="006B269D" w:rsidP="006B269D">
            <w:pPr>
              <w:pBdr>
                <w:top w:val="single" w:sz="4" w:space="1" w:color="auto"/>
                <w:bottom w:val="single" w:sz="4" w:space="1" w:color="auto"/>
              </w:pBdr>
              <w:jc w:val="both"/>
              <w:rPr>
                <w:b/>
                <w:bCs/>
                <w:i/>
                <w:iCs/>
                <w:sz w:val="20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t>2.2. Az ügyek tárgya szerint, hogyan alakult az alapos és alaptalan kérelmek aránya, az eljárások milyen eredményre vezettek, (megszűnés, egyezség, ajánlás, kötelezés aránya) a jogviták megelőzése, ill. eredményesebb befejezése érdekében mit célszerű kommunikálni a fogyasztók, illetve a vállalkozások felé.</w:t>
            </w:r>
          </w:p>
          <w:p w14:paraId="0E19479F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</w:rPr>
            </w:pPr>
            <w:r w:rsidRPr="001A5191">
              <w:rPr>
                <w:bCs/>
                <w:i/>
                <w:iCs/>
                <w:sz w:val="20"/>
              </w:rPr>
              <w:t>A kérelmek</w:t>
            </w:r>
            <w:r>
              <w:rPr>
                <w:bCs/>
                <w:i/>
                <w:iCs/>
                <w:sz w:val="20"/>
              </w:rPr>
              <w:t xml:space="preserve">ből </w:t>
            </w:r>
            <w:r w:rsidR="00F53B27">
              <w:rPr>
                <w:bCs/>
                <w:i/>
                <w:iCs/>
                <w:sz w:val="20"/>
              </w:rPr>
              <w:t>32</w:t>
            </w:r>
            <w:r>
              <w:rPr>
                <w:bCs/>
                <w:i/>
                <w:iCs/>
                <w:sz w:val="20"/>
              </w:rPr>
              <w:t>.</w:t>
            </w:r>
            <w:proofErr w:type="gramStart"/>
            <w:r>
              <w:rPr>
                <w:bCs/>
                <w:i/>
                <w:iCs/>
                <w:sz w:val="20"/>
              </w:rPr>
              <w:t xml:space="preserve">db  </w:t>
            </w:r>
            <w:r w:rsidR="00F53B27">
              <w:rPr>
                <w:bCs/>
                <w:i/>
                <w:iCs/>
                <w:sz w:val="20"/>
              </w:rPr>
              <w:t>(</w:t>
            </w:r>
            <w:proofErr w:type="gramEnd"/>
            <w:r w:rsidR="00F53B27">
              <w:rPr>
                <w:bCs/>
                <w:i/>
                <w:iCs/>
                <w:sz w:val="20"/>
              </w:rPr>
              <w:t>16,4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Pr="001A5191">
              <w:rPr>
                <w:bCs/>
                <w:i/>
                <w:iCs/>
                <w:sz w:val="20"/>
              </w:rPr>
              <w:t xml:space="preserve"> %</w:t>
            </w:r>
            <w:r w:rsidR="00F53B27">
              <w:rPr>
                <w:bCs/>
                <w:i/>
                <w:iCs/>
                <w:sz w:val="20"/>
              </w:rPr>
              <w:t>) volt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Pr="001A5191">
              <w:rPr>
                <w:bCs/>
                <w:i/>
                <w:iCs/>
                <w:sz w:val="20"/>
              </w:rPr>
              <w:t xml:space="preserve"> megalapozatlan</w:t>
            </w:r>
            <w:r w:rsidR="00F53B27">
              <w:rPr>
                <w:bCs/>
                <w:i/>
                <w:iCs/>
                <w:sz w:val="20"/>
              </w:rPr>
              <w:t xml:space="preserve">, </w:t>
            </w:r>
            <w:r w:rsidRPr="001A5191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</w:rPr>
              <w:t xml:space="preserve">a  folytatás lehetetlen volt </w:t>
            </w:r>
            <w:r w:rsidR="00F53B27">
              <w:rPr>
                <w:bCs/>
                <w:i/>
                <w:iCs/>
                <w:sz w:val="20"/>
              </w:rPr>
              <w:t>30</w:t>
            </w:r>
            <w:r>
              <w:rPr>
                <w:bCs/>
                <w:i/>
                <w:iCs/>
                <w:sz w:val="20"/>
              </w:rPr>
              <w:t xml:space="preserve">  ügyben  (1</w:t>
            </w:r>
            <w:r w:rsidR="00F53B27">
              <w:rPr>
                <w:bCs/>
                <w:i/>
                <w:iCs/>
                <w:sz w:val="20"/>
              </w:rPr>
              <w:t>5,3</w:t>
            </w:r>
            <w:r>
              <w:rPr>
                <w:bCs/>
                <w:i/>
                <w:iCs/>
                <w:sz w:val="20"/>
              </w:rPr>
              <w:t xml:space="preserve">. %), </w:t>
            </w:r>
            <w:r w:rsidR="00F53B27">
              <w:rPr>
                <w:bCs/>
                <w:i/>
                <w:iCs/>
                <w:sz w:val="20"/>
              </w:rPr>
              <w:t xml:space="preserve">a kérelem nem </w:t>
            </w:r>
            <w:proofErr w:type="spellStart"/>
            <w:r w:rsidR="00F53B27">
              <w:rPr>
                <w:bCs/>
                <w:i/>
                <w:iCs/>
                <w:sz w:val="20"/>
              </w:rPr>
              <w:t>pótolt</w:t>
            </w:r>
            <w:proofErr w:type="spellEnd"/>
            <w:r w:rsidR="00F53B27">
              <w:rPr>
                <w:bCs/>
                <w:i/>
                <w:iCs/>
                <w:sz w:val="20"/>
              </w:rPr>
              <w:t xml:space="preserve"> 10 (5,1 %), a felek megállapodása 21 (10,7 %), 13-an (6,6 %) visszavonták kérelmüket, ezek megszűntetéssel végződtek. A döntések közül </w:t>
            </w:r>
            <w:proofErr w:type="gramStart"/>
            <w:r w:rsidR="00F53B27">
              <w:rPr>
                <w:bCs/>
                <w:i/>
                <w:iCs/>
                <w:sz w:val="20"/>
              </w:rPr>
              <w:t>egyezség  9</w:t>
            </w:r>
            <w:proofErr w:type="gramEnd"/>
            <w:r w:rsidR="00F53B27">
              <w:rPr>
                <w:bCs/>
                <w:i/>
                <w:iCs/>
                <w:sz w:val="20"/>
              </w:rPr>
              <w:t xml:space="preserve"> (4,6 %), kötelezés 4, (2 %), ajánlás 54 (27,6 %) született, 22 esetben (11,2 %) a kérelmet elutasította a testület. Sajnálatosan stagnált az egyezséget kötők, és kötelezhetők száma. </w:t>
            </w: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</w:tr>
      <w:tr w:rsidR="006B269D" w:rsidRPr="000778BD" w14:paraId="5CD7F94D" w14:textId="77777777">
        <w:trPr>
          <w:cantSplit/>
          <w:trHeight w:val="46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D9BA0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t>2.3. Ismertesse az egyezséget, illetve kötelezést segítő, akadályozó tényezőket, a fogyasztói visszajelzések arányát a határozatokban, ajánlásokban foglaltak betartásának alakulását, stb.</w:t>
            </w:r>
          </w:p>
        </w:tc>
      </w:tr>
      <w:tr w:rsidR="006B269D" w:rsidRPr="000778BD" w14:paraId="35B3609A" w14:textId="77777777">
        <w:trPr>
          <w:cantSplit/>
          <w:trHeight w:val="71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3F74E" w14:textId="77777777" w:rsidR="006B269D" w:rsidRPr="00BA0E5A" w:rsidRDefault="002101AB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Döntő ok, hogy mindössze 20 esetben tett a vállalkozás alávetési nyilatkozatot, 77-szer elutasította, 98-szor nem nyilatkozott, s mindössze 14 ügyben jelent meg képviselőjük a tárgyaláson.</w:t>
            </w:r>
            <w:r w:rsidR="00467B29">
              <w:rPr>
                <w:bCs/>
                <w:i/>
                <w:iCs/>
                <w:sz w:val="20"/>
              </w:rPr>
              <w:t xml:space="preserve"> Kedvező jelenség, hogy 162 vállalkozás (83 %) együttműködött az eljárásokban, a mulasztók ellen az illetékes fogyasztóvédelmi felügyelőségeknél eljárást kezdeményeztünk. Kedvezőbb volt a tárgyalások előtti teljesítések aránya, az ajánlások kimeneteléről (teljesítés, mulasztás) kevés visszajelzést kapott a testület; teljesítésről 9, mulasztás 7 ügyben. 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="006B269D">
              <w:rPr>
                <w:bCs/>
                <w:i/>
                <w:iCs/>
                <w:sz w:val="20"/>
              </w:rPr>
              <w:t xml:space="preserve"> </w:t>
            </w:r>
          </w:p>
        </w:tc>
      </w:tr>
      <w:tr w:rsidR="006B269D" w:rsidRPr="000778BD" w14:paraId="7FE67A2F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B1B0" w14:textId="77777777" w:rsidR="006B269D" w:rsidRPr="00BE077E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BE077E">
              <w:rPr>
                <w:b/>
                <w:bCs/>
                <w:i/>
                <w:iCs/>
                <w:sz w:val="20"/>
                <w:highlight w:val="lightGray"/>
              </w:rPr>
              <w:t>3. Ismertesse a fogyasztói jogviták intézésével összefüggő lényegesnek tartott tapasztalatokat! (pl.: Tudják-e tartani az eljárási határidőket, mennyi az átlagos ügyintézési határidő, egy testületi tag által, illetve írásban lefolytatott eljárások száma, értékelje a vállalkozások együttműködési készségét, alávetések alakulása, nyilvánosságra hozatal oka, száma, módja, a tanács határozata, ajánlása elleni jogorvoslatok száma, eredménye, stb.)</w:t>
            </w:r>
          </w:p>
        </w:tc>
      </w:tr>
      <w:tr w:rsidR="006B269D" w:rsidRPr="000778BD" w14:paraId="0698CCA4" w14:textId="77777777">
        <w:trPr>
          <w:cantSplit/>
          <w:trHeight w:val="72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A67B1" w14:textId="77777777" w:rsidR="006B269D" w:rsidRPr="000778BD" w:rsidRDefault="006B269D" w:rsidP="006B269D">
            <w:pPr>
              <w:ind w:right="-1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Az eljárási határidők </w:t>
            </w:r>
            <w:proofErr w:type="gramStart"/>
            <w:r>
              <w:rPr>
                <w:bCs/>
                <w:i/>
                <w:iCs/>
                <w:sz w:val="20"/>
              </w:rPr>
              <w:t>átlag</w:t>
            </w:r>
            <w:r w:rsidR="00467B29">
              <w:rPr>
                <w:bCs/>
                <w:i/>
                <w:iCs/>
                <w:sz w:val="20"/>
              </w:rPr>
              <w:t xml:space="preserve">a </w:t>
            </w:r>
            <w:r>
              <w:rPr>
                <w:bCs/>
                <w:i/>
                <w:iCs/>
                <w:sz w:val="20"/>
              </w:rPr>
              <w:t xml:space="preserve"> 35</w:t>
            </w:r>
            <w:proofErr w:type="gramEnd"/>
            <w:r>
              <w:rPr>
                <w:bCs/>
                <w:i/>
                <w:iCs/>
                <w:sz w:val="20"/>
              </w:rPr>
              <w:t>-40 nap</w:t>
            </w:r>
            <w:r w:rsidR="00467B29">
              <w:rPr>
                <w:bCs/>
                <w:i/>
                <w:iCs/>
                <w:sz w:val="20"/>
              </w:rPr>
              <w:t xml:space="preserve">, ezeket egy-egy bonyolultabb bizonyítás, hiánypótlások miatt léptük túl. A 195 ügyből 87 ügyet (44,6 %) tanácsban, 58-at (29,7 %) egyedül eljáró taggal tárgyaltuk, elnöki megszűntetés tárgyalás nélkül 45 (23 %), írásban lefolytatott eljárás 5 (2,5 %) ügyben folyt. Az összes ügyintézési idő </w:t>
            </w:r>
            <w:r w:rsidR="00BC64C2">
              <w:rPr>
                <w:bCs/>
                <w:i/>
                <w:iCs/>
                <w:sz w:val="20"/>
              </w:rPr>
              <w:t>7-156 nap volt. A testület honlapján évközben is a jogszabályoknak megfelelően hoztuk nyilvánosságra az együtt nem működő</w:t>
            </w:r>
            <w:r w:rsidR="00AA64BB">
              <w:rPr>
                <w:bCs/>
                <w:i/>
                <w:iCs/>
                <w:sz w:val="20"/>
              </w:rPr>
              <w:t xml:space="preserve">, illetve az ajánlásokat nem teljesítő vállalkozásokat, jogvitás eseteket. Ezeknek azonban még a nagyobb, ismert cégeknél sem tapasztaltunk visszatartó hatását, inkább a felügyelőségeknél indított eljárásokra reagáltak. </w:t>
            </w:r>
          </w:p>
        </w:tc>
      </w:tr>
      <w:tr w:rsidR="006B269D" w:rsidRPr="000778BD" w14:paraId="3321E5F4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732A" w14:textId="77777777" w:rsidR="006B269D" w:rsidRPr="00BE077E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BE077E">
              <w:rPr>
                <w:b/>
                <w:bCs/>
                <w:i/>
                <w:iCs/>
                <w:sz w:val="20"/>
                <w:highlight w:val="lightGray"/>
              </w:rPr>
              <w:t>4. Ismertesse a testület működését segítő, illetve akadályozó körülményeket! (pl.: Személyi, tárgyi feltételek, jogszabályi környezet, finanszírozás, a kamarával való együttműködés értékelése, együttműködés más szervezetekkel, stb.)</w:t>
            </w:r>
          </w:p>
        </w:tc>
      </w:tr>
      <w:tr w:rsidR="006B269D" w:rsidRPr="000778BD" w14:paraId="57DE7678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975C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A</w:t>
            </w:r>
            <w:r w:rsidR="00AA64BB">
              <w:rPr>
                <w:bCs/>
                <w:i/>
                <w:iCs/>
                <w:sz w:val="20"/>
              </w:rPr>
              <w:t xml:space="preserve">z év második felében a felügyeleti szerv váltás miatti </w:t>
            </w:r>
            <w:r w:rsidR="002230C9">
              <w:rPr>
                <w:bCs/>
                <w:i/>
                <w:iCs/>
                <w:sz w:val="20"/>
              </w:rPr>
              <w:t xml:space="preserve">szerződési </w:t>
            </w:r>
            <w:proofErr w:type="gramStart"/>
            <w:r w:rsidR="002230C9">
              <w:rPr>
                <w:bCs/>
                <w:i/>
                <w:iCs/>
                <w:sz w:val="20"/>
              </w:rPr>
              <w:t xml:space="preserve">bizonytalanság </w:t>
            </w:r>
            <w:r w:rsidR="00AA64BB">
              <w:rPr>
                <w:bCs/>
                <w:i/>
                <w:iCs/>
                <w:sz w:val="20"/>
              </w:rPr>
              <w:t xml:space="preserve"> visszafogásra</w:t>
            </w:r>
            <w:proofErr w:type="gramEnd"/>
            <w:r w:rsidR="00AA64BB">
              <w:rPr>
                <w:bCs/>
                <w:i/>
                <w:iCs/>
                <w:sz w:val="20"/>
              </w:rPr>
              <w:t xml:space="preserve"> késztette a testület PR- és média munkáját, ezt ellensúlyozták a helyi médiumokban a sokéves munkakapcsolat révén megjelent riportok, tanácsaink. </w:t>
            </w:r>
            <w:proofErr w:type="gramStart"/>
            <w:r w:rsidR="00AA64BB">
              <w:rPr>
                <w:bCs/>
                <w:i/>
                <w:iCs/>
                <w:sz w:val="20"/>
              </w:rPr>
              <w:t>A</w:t>
            </w:r>
            <w:r w:rsidR="002230C9">
              <w:rPr>
                <w:bCs/>
                <w:i/>
                <w:iCs/>
                <w:sz w:val="20"/>
              </w:rPr>
              <w:t xml:space="preserve"> </w:t>
            </w:r>
            <w:r w:rsidR="00AA64BB">
              <w:rPr>
                <w:bCs/>
                <w:i/>
                <w:iCs/>
                <w:sz w:val="20"/>
              </w:rPr>
              <w:t xml:space="preserve"> fogyasztóvédelmi</w:t>
            </w:r>
            <w:proofErr w:type="gramEnd"/>
            <w:r w:rsidR="00AA64BB">
              <w:rPr>
                <w:bCs/>
                <w:i/>
                <w:iCs/>
                <w:sz w:val="20"/>
              </w:rPr>
              <w:t xml:space="preserve"> felügyelőséggel folyamatos volt az együttműködés, a tapasztalatok átadása, 1-1 nyugdíjas fórumot </w:t>
            </w:r>
            <w:r w:rsidR="002230C9">
              <w:rPr>
                <w:bCs/>
                <w:i/>
                <w:iCs/>
                <w:sz w:val="20"/>
              </w:rPr>
              <w:t xml:space="preserve">tartottak tagjaink, a kamara havi lapjában több tájékoztató írást jelentettünk meg. </w:t>
            </w:r>
          </w:p>
        </w:tc>
      </w:tr>
      <w:tr w:rsidR="006B269D" w:rsidRPr="000778BD" w14:paraId="4D1F21DA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AF77" w14:textId="77777777" w:rsidR="006B269D" w:rsidRPr="009E1950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9E1950">
              <w:rPr>
                <w:b/>
                <w:bCs/>
                <w:i/>
                <w:iCs/>
                <w:sz w:val="20"/>
                <w:highlight w:val="lightGray"/>
              </w:rPr>
              <w:t>5. Ismertesse a testületeket, illetve a fogyasztóvédelmet érintő esetleges jogi szabályozásra vonatkozó észrevételeit, javaslatait!</w:t>
            </w:r>
          </w:p>
        </w:tc>
      </w:tr>
      <w:tr w:rsidR="006B269D" w:rsidRPr="000778BD" w14:paraId="624EDA05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75D2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BE077E">
              <w:rPr>
                <w:bCs/>
                <w:i/>
                <w:iCs/>
                <w:sz w:val="20"/>
              </w:rPr>
              <w:t>A</w:t>
            </w:r>
            <w:r>
              <w:rPr>
                <w:bCs/>
                <w:i/>
                <w:iCs/>
                <w:sz w:val="20"/>
              </w:rPr>
              <w:t xml:space="preserve">  vállalkozások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megjelenésének </w:t>
            </w:r>
            <w:r w:rsidR="002230C9">
              <w:rPr>
                <w:bCs/>
                <w:i/>
                <w:iCs/>
                <w:sz w:val="20"/>
              </w:rPr>
              <w:t xml:space="preserve">elmaradását  a tárgyalásokon évek óta bírálják a panaszosok. </w:t>
            </w:r>
          </w:p>
        </w:tc>
      </w:tr>
      <w:tr w:rsidR="006B269D" w:rsidRPr="000778BD" w14:paraId="0384BCBB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DEC4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t xml:space="preserve">6. Ismertesse, hogy mit tett a testület a vállalkozások együttműködési készségének fokozása érdekében, mik az ezt akadályozó körülmények, illetve az együttműködés milyen módon ösztönözhető! </w:t>
            </w:r>
          </w:p>
        </w:tc>
      </w:tr>
      <w:tr w:rsidR="006B269D" w:rsidRPr="000778BD" w14:paraId="080E5997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F5E7" w14:textId="77777777" w:rsidR="006B269D" w:rsidRPr="000778BD" w:rsidRDefault="002230C9" w:rsidP="006B269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Lehetőséget kellene teremteni a helyi sajtóban a korrekt, illetve együtt nem működő vállalkozások nyilvánosságra hozására.</w:t>
            </w:r>
            <w:r w:rsidR="006B269D">
              <w:rPr>
                <w:bCs/>
                <w:i/>
                <w:iCs/>
                <w:sz w:val="20"/>
              </w:rPr>
              <w:t xml:space="preserve">   </w:t>
            </w:r>
          </w:p>
        </w:tc>
      </w:tr>
      <w:tr w:rsidR="006B269D" w:rsidRPr="000778BD" w14:paraId="08AA84AF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B1F3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t>7. Mutassa be a promóciós kampányuk elemeit, és részletesen azok eredményességét, valamint a fogyasztói visszajelzéseket. Csatolja a hirdetések másolatát, és TV és rádió spot esetén CD mellékletet.</w:t>
            </w:r>
          </w:p>
        </w:tc>
      </w:tr>
      <w:tr w:rsidR="006B269D" w:rsidRPr="000778BD" w14:paraId="6A9CF993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D30B" w14:textId="77777777" w:rsidR="006B269D" w:rsidRPr="00B97D42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A Kapos TV-</w:t>
            </w:r>
            <w:proofErr w:type="spellStart"/>
            <w:proofErr w:type="gramStart"/>
            <w:r>
              <w:rPr>
                <w:bCs/>
                <w:i/>
                <w:iCs/>
                <w:sz w:val="20"/>
              </w:rPr>
              <w:t>vel,</w:t>
            </w:r>
            <w:r w:rsidR="002230C9">
              <w:rPr>
                <w:bCs/>
                <w:i/>
                <w:iCs/>
                <w:sz w:val="20"/>
              </w:rPr>
              <w:t>Somogy</w:t>
            </w:r>
            <w:proofErr w:type="spellEnd"/>
            <w:proofErr w:type="gramEnd"/>
            <w:r w:rsidR="002230C9">
              <w:rPr>
                <w:bCs/>
                <w:i/>
                <w:iCs/>
                <w:sz w:val="20"/>
              </w:rPr>
              <w:t xml:space="preserve"> Tv-vel, 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="002230C9">
              <w:rPr>
                <w:bCs/>
                <w:i/>
                <w:iCs/>
                <w:sz w:val="20"/>
              </w:rPr>
              <w:t>a Most</w:t>
            </w:r>
            <w:r w:rsidR="00B16357">
              <w:rPr>
                <w:bCs/>
                <w:i/>
                <w:iCs/>
                <w:sz w:val="20"/>
              </w:rPr>
              <w:t xml:space="preserve"> </w:t>
            </w:r>
            <w:r w:rsidR="002230C9">
              <w:rPr>
                <w:bCs/>
                <w:i/>
                <w:iCs/>
                <w:sz w:val="20"/>
              </w:rPr>
              <w:t xml:space="preserve">Rádióval és  </w:t>
            </w:r>
            <w:r>
              <w:rPr>
                <w:bCs/>
                <w:i/>
                <w:iCs/>
                <w:sz w:val="20"/>
              </w:rPr>
              <w:t xml:space="preserve">a Somogyi Hírlappal  </w:t>
            </w:r>
            <w:r w:rsidR="00B16357">
              <w:rPr>
                <w:bCs/>
                <w:i/>
                <w:iCs/>
                <w:sz w:val="20"/>
              </w:rPr>
              <w:t xml:space="preserve">kötöttünk reklám, illetve PR közleményekre megállapodást, amelyeknek anyagait mellékeljük. </w:t>
            </w:r>
          </w:p>
        </w:tc>
      </w:tr>
      <w:tr w:rsidR="006B269D" w:rsidRPr="000778BD" w14:paraId="0A6C32F1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7F87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t>8. Ismertesse, milyen szakmai rendezvényen/képzésen vettek részt a testület tagjai. Mutassa be és csatolja a testület kiadványait és publikációit.</w:t>
            </w:r>
          </w:p>
        </w:tc>
      </w:tr>
      <w:tr w:rsidR="006B269D" w:rsidRPr="000778BD" w14:paraId="638C35B4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F34E" w14:textId="77777777" w:rsidR="00B16357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A</w:t>
            </w:r>
            <w:r w:rsidR="00B16357">
              <w:rPr>
                <w:bCs/>
                <w:i/>
                <w:iCs/>
                <w:sz w:val="20"/>
              </w:rPr>
              <w:t xml:space="preserve"> </w:t>
            </w:r>
            <w:proofErr w:type="gramStart"/>
            <w:r w:rsidR="00B16357">
              <w:rPr>
                <w:bCs/>
                <w:i/>
                <w:iCs/>
                <w:sz w:val="20"/>
              </w:rPr>
              <w:t>testület  vezetői</w:t>
            </w:r>
            <w:proofErr w:type="gramEnd"/>
            <w:r w:rsidR="00B16357">
              <w:rPr>
                <w:bCs/>
                <w:i/>
                <w:iCs/>
                <w:sz w:val="20"/>
              </w:rPr>
              <w:t xml:space="preserve"> részt vettek a FEOSZ, illetve a Központi I. Nemzeti Fogyasztóvédelmi Konferencián. </w:t>
            </w:r>
          </w:p>
          <w:p w14:paraId="1784FA8A" w14:textId="77777777" w:rsidR="006B269D" w:rsidRPr="000778BD" w:rsidRDefault="006B269D" w:rsidP="006B269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</w:tr>
      <w:tr w:rsidR="006B269D" w:rsidRPr="000778BD" w14:paraId="0628E354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535BA" w14:textId="77777777" w:rsidR="006B269D" w:rsidRPr="000778BD" w:rsidRDefault="006B269D" w:rsidP="006B2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lastRenderedPageBreak/>
              <w:t>9. Ismertesse tanácsadási tevékenysége során szerzett tapasztalatokat, a testület tanácsadási rendszerét, illetve ügyfélszolgálatának működését.</w:t>
            </w:r>
          </w:p>
          <w:p w14:paraId="1E1AD34D" w14:textId="77777777" w:rsidR="006B269D" w:rsidRPr="000279DC" w:rsidRDefault="006B269D" w:rsidP="006B269D">
            <w:pPr>
              <w:rPr>
                <w:bCs/>
                <w:i/>
                <w:iCs/>
                <w:sz w:val="20"/>
                <w:highlight w:val="lightGray"/>
              </w:rPr>
            </w:pPr>
            <w:r>
              <w:rPr>
                <w:bCs/>
                <w:i/>
                <w:iCs/>
                <w:sz w:val="20"/>
              </w:rPr>
              <w:t xml:space="preserve">A </w:t>
            </w:r>
            <w:proofErr w:type="gramStart"/>
            <w:r>
              <w:rPr>
                <w:bCs/>
                <w:i/>
                <w:iCs/>
                <w:sz w:val="20"/>
              </w:rPr>
              <w:t>tanácsadás</w:t>
            </w:r>
            <w:r w:rsidR="00BD0AEB">
              <w:rPr>
                <w:bCs/>
                <w:i/>
                <w:iCs/>
                <w:sz w:val="20"/>
              </w:rPr>
              <w:t xml:space="preserve">t </w:t>
            </w:r>
            <w:r>
              <w:rPr>
                <w:bCs/>
                <w:i/>
                <w:iCs/>
                <w:sz w:val="20"/>
              </w:rPr>
              <w:t xml:space="preserve"> a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bevált rendszerben folytattuk;  naponta 9-12 óra között a testület elnöke, 8-16 óra között az  elnökhelyettes személyesen elérhető volt a</w:t>
            </w:r>
            <w:r w:rsidR="00BD0AEB">
              <w:rPr>
                <w:bCs/>
                <w:i/>
                <w:iCs/>
                <w:sz w:val="20"/>
              </w:rPr>
              <w:t xml:space="preserve"> kamarai </w:t>
            </w:r>
            <w:r>
              <w:rPr>
                <w:bCs/>
                <w:i/>
                <w:iCs/>
                <w:sz w:val="20"/>
              </w:rPr>
              <w:t xml:space="preserve"> irod</w:t>
            </w:r>
            <w:r w:rsidR="00BD0AEB">
              <w:rPr>
                <w:bCs/>
                <w:i/>
                <w:iCs/>
                <w:sz w:val="20"/>
              </w:rPr>
              <w:t xml:space="preserve">ában, </w:t>
            </w:r>
            <w:r>
              <w:rPr>
                <w:bCs/>
                <w:i/>
                <w:iCs/>
                <w:sz w:val="20"/>
              </w:rPr>
              <w:t xml:space="preserve"> telefono</w:t>
            </w:r>
            <w:r w:rsidR="00BD0AEB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i/>
                <w:iCs/>
                <w:sz w:val="20"/>
              </w:rPr>
              <w:t>, e-mail-</w:t>
            </w:r>
            <w:r w:rsidR="00BD0AEB">
              <w:rPr>
                <w:bCs/>
                <w:i/>
                <w:iCs/>
                <w:sz w:val="20"/>
              </w:rPr>
              <w:t xml:space="preserve">ben szintén igény szerint adtunk folyamatosan tanácsokat. </w:t>
            </w:r>
          </w:p>
        </w:tc>
      </w:tr>
      <w:tr w:rsidR="006B269D" w:rsidRPr="000778BD" w14:paraId="4814770D" w14:textId="77777777">
        <w:trPr>
          <w:cantSplit/>
          <w:trHeight w:val="326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363" w14:textId="77777777" w:rsidR="006B269D" w:rsidRPr="000778BD" w:rsidRDefault="006B269D" w:rsidP="006B2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sz w:val="20"/>
                <w:highlight w:val="lightGray"/>
              </w:rPr>
            </w:pPr>
            <w:r w:rsidRPr="000778BD">
              <w:rPr>
                <w:b/>
                <w:bCs/>
                <w:i/>
                <w:iCs/>
                <w:sz w:val="20"/>
                <w:highlight w:val="lightGray"/>
              </w:rPr>
              <w:t>10. Mutassa be média és PR megjelenéseit (TV, rádió, online, nyomtatott sajtó).</w:t>
            </w:r>
          </w:p>
          <w:p w14:paraId="17459DCF" w14:textId="77777777" w:rsidR="006B269D" w:rsidRDefault="006B269D" w:rsidP="006B269D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Lásd 6-7-es pont.</w:t>
            </w:r>
          </w:p>
          <w:p w14:paraId="64C3D6CE" w14:textId="77777777" w:rsidR="006B269D" w:rsidRPr="000279DC" w:rsidRDefault="006B269D" w:rsidP="006B269D">
            <w:pPr>
              <w:rPr>
                <w:bCs/>
                <w:i/>
                <w:iCs/>
                <w:sz w:val="20"/>
                <w:highlight w:val="lightGray"/>
              </w:rPr>
            </w:pPr>
          </w:p>
        </w:tc>
      </w:tr>
      <w:tr w:rsidR="006B269D" w:rsidRPr="000778BD" w14:paraId="4EFCD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1669"/>
        </w:trPr>
        <w:tc>
          <w:tcPr>
            <w:tcW w:w="9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7FBDF" w14:textId="77777777" w:rsidR="006B269D" w:rsidRPr="000778BD" w:rsidRDefault="006B269D" w:rsidP="006B26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i/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0778BD">
                <w:rPr>
                  <w:b/>
                  <w:i/>
                  <w:iCs/>
                  <w:sz w:val="20"/>
                  <w:highlight w:val="lightGray"/>
                </w:rPr>
                <w:t>11. A</w:t>
              </w:r>
            </w:smartTag>
            <w:r w:rsidRPr="000778BD">
              <w:rPr>
                <w:b/>
                <w:i/>
                <w:iCs/>
                <w:sz w:val="20"/>
                <w:highlight w:val="lightGray"/>
              </w:rPr>
              <w:t xml:space="preserve"> szakmai beszámoló kötelező mellékletei</w:t>
            </w:r>
          </w:p>
          <w:p w14:paraId="1CF68529" w14:textId="77777777" w:rsidR="006B269D" w:rsidRPr="000778BD" w:rsidRDefault="006B269D" w:rsidP="006B269D">
            <w:pPr>
              <w:rPr>
                <w:i/>
                <w:iCs/>
                <w:sz w:val="20"/>
              </w:rPr>
            </w:pPr>
            <w:r w:rsidRPr="000778BD">
              <w:rPr>
                <w:i/>
                <w:iCs/>
                <w:sz w:val="20"/>
              </w:rPr>
              <w:t>Kérjük, az alábbi mellékletet nyújtsák be finanszírozási időszakonként a szakmai beszámoló részeként:</w:t>
            </w:r>
          </w:p>
          <w:p w14:paraId="385F45FE" w14:textId="77777777" w:rsidR="006B269D" w:rsidRPr="000778BD" w:rsidRDefault="006B269D" w:rsidP="006B269D">
            <w:pPr>
              <w:rPr>
                <w:sz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8434"/>
            </w:tblGrid>
            <w:tr w:rsidR="006B269D" w:rsidRPr="000778BD" w14:paraId="7B7DFAC7" w14:textId="77777777">
              <w:trPr>
                <w:jc w:val="center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01C8" w14:textId="77777777" w:rsidR="006B269D" w:rsidRPr="000778BD" w:rsidRDefault="006B269D" w:rsidP="006B269D">
                  <w:pPr>
                    <w:jc w:val="center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(M1)</w:t>
                  </w:r>
                </w:p>
                <w:p w14:paraId="200A2DB3" w14:textId="77777777" w:rsidR="006B269D" w:rsidRPr="000778BD" w:rsidRDefault="006B269D" w:rsidP="006B269D">
                  <w:pPr>
                    <w:jc w:val="center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(M2/A)</w:t>
                  </w:r>
                </w:p>
                <w:p w14:paraId="4187EFEA" w14:textId="77777777" w:rsidR="006B269D" w:rsidRPr="000778BD" w:rsidRDefault="006B269D" w:rsidP="006B269D">
                  <w:pPr>
                    <w:jc w:val="center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(M2/B)</w:t>
                  </w:r>
                </w:p>
                <w:p w14:paraId="170BAD37" w14:textId="77777777" w:rsidR="006B269D" w:rsidRPr="000778BD" w:rsidRDefault="006B269D" w:rsidP="006B269D">
                  <w:pPr>
                    <w:jc w:val="center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(M3/</w:t>
                  </w:r>
                  <w:proofErr w:type="gramStart"/>
                  <w:r w:rsidRPr="000778BD">
                    <w:rPr>
                      <w:sz w:val="20"/>
                    </w:rPr>
                    <w:t>A,B</w:t>
                  </w:r>
                  <w:proofErr w:type="gramEnd"/>
                  <w:r w:rsidRPr="000778BD">
                    <w:rPr>
                      <w:sz w:val="20"/>
                    </w:rPr>
                    <w:t>)</w:t>
                  </w:r>
                </w:p>
                <w:p w14:paraId="3600DC37" w14:textId="77777777" w:rsidR="006B269D" w:rsidRPr="000778BD" w:rsidRDefault="006B269D" w:rsidP="006B269D">
                  <w:pPr>
                    <w:jc w:val="center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(M4)</w:t>
                  </w:r>
                </w:p>
              </w:tc>
              <w:tc>
                <w:tcPr>
                  <w:tcW w:w="8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FD86" w14:textId="77777777" w:rsidR="006B269D" w:rsidRPr="000778BD" w:rsidRDefault="006B269D" w:rsidP="006B269D">
                  <w:pPr>
                    <w:ind w:left="4489" w:hanging="4489"/>
                    <w:jc w:val="both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Statisztikai adatlap a békéltető testület ügytípusainak megoszlásáról</w:t>
                  </w:r>
                </w:p>
                <w:p w14:paraId="3F66EBD3" w14:textId="77777777" w:rsidR="006B269D" w:rsidRPr="000778BD" w:rsidRDefault="006B269D" w:rsidP="006B269D">
                  <w:pPr>
                    <w:jc w:val="both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Statisztikai adatlap a békéltető testületi ügyek Termékek szerinti megoszlásáról</w:t>
                  </w:r>
                </w:p>
                <w:p w14:paraId="6A71D7F0" w14:textId="77777777" w:rsidR="006B269D" w:rsidRPr="000778BD" w:rsidRDefault="006B269D" w:rsidP="006B269D">
                  <w:pPr>
                    <w:jc w:val="both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Statisztikai adatlap a békéltető testületi ügyek Szolgáltatások szerinti megoszlásáról</w:t>
                  </w:r>
                </w:p>
                <w:p w14:paraId="2C760DAC" w14:textId="77777777" w:rsidR="006B269D" w:rsidRPr="000778BD" w:rsidRDefault="006B269D" w:rsidP="006B269D">
                  <w:pPr>
                    <w:jc w:val="both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Statisztikai adatlapok a békéltető testület tagjainak tevékenységéről</w:t>
                  </w:r>
                </w:p>
                <w:p w14:paraId="47F74026" w14:textId="77777777" w:rsidR="006B269D" w:rsidRPr="000778BD" w:rsidRDefault="006B269D" w:rsidP="006B269D">
                  <w:pPr>
                    <w:jc w:val="both"/>
                    <w:rPr>
                      <w:sz w:val="20"/>
                    </w:rPr>
                  </w:pPr>
                  <w:r w:rsidRPr="000778BD">
                    <w:rPr>
                      <w:sz w:val="20"/>
                    </w:rPr>
                    <w:t>Statisztikai adatlap a békéltető testület döntéseinek bíróság előtti megtámadásáról</w:t>
                  </w:r>
                </w:p>
                <w:p w14:paraId="7364C246" w14:textId="77777777" w:rsidR="006B269D" w:rsidRPr="000778BD" w:rsidRDefault="006B269D" w:rsidP="006B269D">
                  <w:pPr>
                    <w:ind w:left="-809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2B0A8E2B" w14:textId="77777777" w:rsidR="006B269D" w:rsidRPr="000778BD" w:rsidRDefault="006B269D" w:rsidP="006B269D">
            <w:pPr>
              <w:rPr>
                <w:sz w:val="20"/>
              </w:rPr>
            </w:pPr>
          </w:p>
        </w:tc>
      </w:tr>
    </w:tbl>
    <w:p w14:paraId="546E140A" w14:textId="77777777" w:rsidR="006B269D" w:rsidRPr="000778BD" w:rsidRDefault="006B269D" w:rsidP="006B269D">
      <w:pPr>
        <w:rPr>
          <w:b/>
          <w:sz w:val="20"/>
        </w:rPr>
      </w:pPr>
    </w:p>
    <w:tbl>
      <w:tblPr>
        <w:tblW w:w="9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6B269D" w:rsidRPr="000778BD" w14:paraId="668A0ACE" w14:textId="77777777">
        <w:trPr>
          <w:trHeight w:val="3250"/>
        </w:trPr>
        <w:tc>
          <w:tcPr>
            <w:tcW w:w="9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3B78D" w14:textId="77777777" w:rsidR="006B269D" w:rsidRPr="000778BD" w:rsidRDefault="006B269D" w:rsidP="006B269D">
            <w:pPr>
              <w:ind w:left="-27"/>
              <w:jc w:val="both"/>
              <w:rPr>
                <w:b/>
                <w:bCs/>
                <w:i/>
                <w:iCs/>
                <w:sz w:val="20"/>
              </w:rPr>
            </w:pPr>
            <w:r w:rsidRPr="000778BD">
              <w:rPr>
                <w:b/>
                <w:bCs/>
                <w:i/>
                <w:iCs/>
                <w:sz w:val="20"/>
              </w:rPr>
              <w:t>A szakmai beszámoló hitelesítése</w:t>
            </w:r>
          </w:p>
          <w:p w14:paraId="0FA54FA0" w14:textId="77777777" w:rsidR="006B269D" w:rsidRPr="000778BD" w:rsidRDefault="006B269D" w:rsidP="006B269D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53EC77D4" w14:textId="77777777" w:rsidR="006B269D" w:rsidRPr="000778BD" w:rsidRDefault="006B269D" w:rsidP="006B269D">
            <w:pPr>
              <w:ind w:left="-27"/>
              <w:jc w:val="both"/>
              <w:rPr>
                <w:bCs/>
                <w:i/>
                <w:iCs/>
                <w:sz w:val="20"/>
              </w:rPr>
            </w:pPr>
            <w:r w:rsidRPr="000778BD">
              <w:rPr>
                <w:bCs/>
                <w:i/>
                <w:iCs/>
                <w:sz w:val="20"/>
              </w:rPr>
              <w:t xml:space="preserve">Alulírott </w:t>
            </w:r>
            <w:r>
              <w:rPr>
                <w:bCs/>
                <w:i/>
                <w:iCs/>
                <w:sz w:val="20"/>
              </w:rPr>
              <w:t>Közreműködő</w:t>
            </w:r>
            <w:r w:rsidRPr="000778BD">
              <w:rPr>
                <w:bCs/>
                <w:i/>
                <w:iCs/>
                <w:sz w:val="20"/>
              </w:rPr>
              <w:t xml:space="preserve"> kijelentem, hogy a Szakmai beszámolóban szereplő adatok és a mellékelt dokumentumok hitelesek és a valóságnak megfelelnek.</w:t>
            </w:r>
          </w:p>
          <w:p w14:paraId="31BDDD87" w14:textId="77777777" w:rsidR="006B269D" w:rsidRPr="000778BD" w:rsidRDefault="006B269D" w:rsidP="006B269D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5BE851E4" w14:textId="77777777" w:rsidR="006B269D" w:rsidRPr="000778BD" w:rsidRDefault="006B269D" w:rsidP="006B269D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7A9A8D76" w14:textId="77777777" w:rsidR="006B269D" w:rsidRPr="000778BD" w:rsidRDefault="006B269D" w:rsidP="006B269D">
            <w:pPr>
              <w:jc w:val="both"/>
              <w:rPr>
                <w:bCs/>
                <w:i/>
                <w:iCs/>
                <w:sz w:val="20"/>
              </w:rPr>
            </w:pPr>
            <w:r w:rsidRPr="000778BD">
              <w:rPr>
                <w:bCs/>
                <w:i/>
                <w:iCs/>
                <w:sz w:val="20"/>
              </w:rPr>
              <w:t xml:space="preserve">Dátum: </w:t>
            </w:r>
            <w:r>
              <w:rPr>
                <w:bCs/>
                <w:i/>
                <w:iCs/>
                <w:sz w:val="20"/>
              </w:rPr>
              <w:t>Kaposvár, 201</w:t>
            </w:r>
            <w:r w:rsidR="00BD0AEB">
              <w:rPr>
                <w:bCs/>
                <w:i/>
                <w:iCs/>
                <w:sz w:val="20"/>
              </w:rPr>
              <w:t>5</w:t>
            </w:r>
            <w:r>
              <w:rPr>
                <w:bCs/>
                <w:i/>
                <w:iCs/>
                <w:sz w:val="20"/>
              </w:rPr>
              <w:t xml:space="preserve">. </w:t>
            </w:r>
            <w:r w:rsidR="00BD0AEB">
              <w:rPr>
                <w:bCs/>
                <w:i/>
                <w:iCs/>
                <w:sz w:val="20"/>
              </w:rPr>
              <w:t>január 30.</w:t>
            </w:r>
          </w:p>
          <w:p w14:paraId="1631EED1" w14:textId="77777777" w:rsidR="006B269D" w:rsidRPr="000778BD" w:rsidRDefault="006B269D" w:rsidP="006B269D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14A380A6" w14:textId="77777777" w:rsidR="006B269D" w:rsidRPr="000778BD" w:rsidRDefault="006B269D" w:rsidP="006B269D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5F8B2709" w14:textId="77777777" w:rsidR="006B269D" w:rsidRPr="000778BD" w:rsidRDefault="006B269D" w:rsidP="006B269D">
            <w:pPr>
              <w:ind w:left="-27" w:right="186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                                                                                </w:t>
            </w:r>
            <w:r w:rsidRPr="000778BD">
              <w:rPr>
                <w:bCs/>
                <w:i/>
                <w:iCs/>
              </w:rPr>
              <w:t>_________________________</w:t>
            </w:r>
          </w:p>
          <w:p w14:paraId="78657017" w14:textId="77777777" w:rsidR="006B269D" w:rsidRPr="000778BD" w:rsidRDefault="006B269D" w:rsidP="006B269D">
            <w:pPr>
              <w:ind w:left="-27" w:right="186"/>
              <w:jc w:val="right"/>
              <w:rPr>
                <w:bCs/>
                <w:i/>
                <w:iCs/>
                <w:sz w:val="20"/>
              </w:rPr>
            </w:pPr>
            <w:r w:rsidRPr="000778BD">
              <w:t>a testület elnökének cégszerű aláírása</w:t>
            </w:r>
          </w:p>
        </w:tc>
      </w:tr>
    </w:tbl>
    <w:p w14:paraId="58CD62C4" w14:textId="77777777" w:rsidR="006B269D" w:rsidRDefault="006B269D" w:rsidP="006B269D"/>
    <w:p w14:paraId="5A52E28D" w14:textId="77777777" w:rsidR="006B269D" w:rsidRDefault="006B269D" w:rsidP="006B269D"/>
    <w:p w14:paraId="38CA23E6" w14:textId="77777777" w:rsidR="006B269D" w:rsidRDefault="006B269D" w:rsidP="006B269D"/>
    <w:p w14:paraId="3DCFFEE1" w14:textId="77777777" w:rsidR="006B269D" w:rsidRDefault="006B269D" w:rsidP="006B269D"/>
    <w:p w14:paraId="6F71CCC9" w14:textId="77777777" w:rsidR="006B269D" w:rsidRDefault="006B269D" w:rsidP="006B269D"/>
    <w:p w14:paraId="7BCA2D0F" w14:textId="77777777" w:rsidR="006B269D" w:rsidRDefault="006B269D" w:rsidP="006B269D"/>
    <w:p w14:paraId="162F83F9" w14:textId="77777777" w:rsidR="006B269D" w:rsidRDefault="006B269D" w:rsidP="006B269D"/>
    <w:sectPr w:rsidR="006B26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D09D" w14:textId="77777777" w:rsidR="0054648D" w:rsidRDefault="0054648D">
      <w:r>
        <w:separator/>
      </w:r>
    </w:p>
  </w:endnote>
  <w:endnote w:type="continuationSeparator" w:id="0">
    <w:p w14:paraId="47BF6CD7" w14:textId="77777777" w:rsidR="0054648D" w:rsidRDefault="005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27D1" w14:textId="77777777" w:rsidR="00AA64BB" w:rsidRDefault="00AA64BB" w:rsidP="006B269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90A55DF" w14:textId="77777777" w:rsidR="00AA64BB" w:rsidRDefault="00AA64B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6A13" w14:textId="77777777" w:rsidR="00AA64BB" w:rsidRDefault="00AA64BB" w:rsidP="006B269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5CA0">
      <w:rPr>
        <w:rStyle w:val="Oldalszm"/>
        <w:noProof/>
      </w:rPr>
      <w:t>1</w:t>
    </w:r>
    <w:r>
      <w:rPr>
        <w:rStyle w:val="Oldalszm"/>
      </w:rPr>
      <w:fldChar w:fldCharType="end"/>
    </w:r>
  </w:p>
  <w:p w14:paraId="23224B12" w14:textId="77777777" w:rsidR="00AA64BB" w:rsidRDefault="00AA64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8591" w14:textId="77777777" w:rsidR="0054648D" w:rsidRDefault="0054648D">
      <w:r>
        <w:separator/>
      </w:r>
    </w:p>
  </w:footnote>
  <w:footnote w:type="continuationSeparator" w:id="0">
    <w:p w14:paraId="4D4677A1" w14:textId="77777777" w:rsidR="0054648D" w:rsidRDefault="0054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2C88" w14:textId="77777777" w:rsidR="00AA64BB" w:rsidRDefault="00AA64BB" w:rsidP="006B269D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D992D47" w14:textId="77777777" w:rsidR="00AA64BB" w:rsidRDefault="00AA64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6CF5" w14:textId="77777777" w:rsidR="00AA64BB" w:rsidRDefault="00AA64BB" w:rsidP="006B269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5F31BF0"/>
    <w:multiLevelType w:val="multilevel"/>
    <w:tmpl w:val="4A40F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A755EC"/>
    <w:multiLevelType w:val="hybridMultilevel"/>
    <w:tmpl w:val="4A40F2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D"/>
    <w:rsid w:val="000323CD"/>
    <w:rsid w:val="001745F8"/>
    <w:rsid w:val="002101AB"/>
    <w:rsid w:val="002230C9"/>
    <w:rsid w:val="003636B5"/>
    <w:rsid w:val="00383EA4"/>
    <w:rsid w:val="00467B29"/>
    <w:rsid w:val="004C5C28"/>
    <w:rsid w:val="004F1B77"/>
    <w:rsid w:val="0054648D"/>
    <w:rsid w:val="00555111"/>
    <w:rsid w:val="005C207C"/>
    <w:rsid w:val="006110CD"/>
    <w:rsid w:val="006963C2"/>
    <w:rsid w:val="006B269D"/>
    <w:rsid w:val="0081349A"/>
    <w:rsid w:val="00866190"/>
    <w:rsid w:val="00885CA0"/>
    <w:rsid w:val="00AA64BB"/>
    <w:rsid w:val="00B16357"/>
    <w:rsid w:val="00BC64C2"/>
    <w:rsid w:val="00BD0AEB"/>
    <w:rsid w:val="00D20719"/>
    <w:rsid w:val="00E8611C"/>
    <w:rsid w:val="00EA674A"/>
    <w:rsid w:val="00F204D3"/>
    <w:rsid w:val="00F53B27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C0D3FB"/>
  <w15:docId w15:val="{EC8CC3FE-7556-429B-A06D-028B9A37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B269D"/>
    <w:rPr>
      <w:sz w:val="24"/>
      <w:szCs w:val="24"/>
    </w:rPr>
  </w:style>
  <w:style w:type="paragraph" w:styleId="Cmsor1">
    <w:name w:val="heading 1"/>
    <w:basedOn w:val="Norml"/>
    <w:next w:val="Norml"/>
    <w:qFormat/>
    <w:rsid w:val="006B269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6B269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B269D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B269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B269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6B269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qFormat/>
    <w:rsid w:val="006B269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qFormat/>
    <w:rsid w:val="006B269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6B269D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rsid w:val="006B269D"/>
    <w:rPr>
      <w:rFonts w:ascii="Cambria" w:hAnsi="Cambria"/>
      <w:sz w:val="24"/>
      <w:szCs w:val="24"/>
      <w:lang w:val="x-none" w:eastAsia="x-none" w:bidi="ar-SA"/>
    </w:rPr>
  </w:style>
  <w:style w:type="paragraph" w:styleId="lfej">
    <w:name w:val="header"/>
    <w:basedOn w:val="Norml"/>
    <w:link w:val="lfejChar"/>
    <w:rsid w:val="006B269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B269D"/>
    <w:rPr>
      <w:sz w:val="24"/>
      <w:szCs w:val="24"/>
      <w:lang w:val="hu-HU" w:eastAsia="hu-HU" w:bidi="ar-SA"/>
    </w:rPr>
  </w:style>
  <w:style w:type="paragraph" w:customStyle="1" w:styleId="Szvegtrzsbehzssal1">
    <w:name w:val="Szövegtörzs behúzással1"/>
    <w:basedOn w:val="Norml"/>
    <w:link w:val="BodyTextIndentChar"/>
    <w:rsid w:val="006B26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</w:rPr>
  </w:style>
  <w:style w:type="character" w:customStyle="1" w:styleId="BodyTextIndentChar">
    <w:name w:val="Body Text Indent Char"/>
    <w:link w:val="Szvegtrzsbehzssal1"/>
    <w:rsid w:val="006B269D"/>
    <w:rPr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rsid w:val="006B269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B269D"/>
    <w:rPr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6B269D"/>
    <w:rPr>
      <w:color w:val="0000FF"/>
      <w:u w:val="single"/>
    </w:rPr>
  </w:style>
  <w:style w:type="paragraph" w:styleId="Szvegtrzs">
    <w:name w:val="Body Text"/>
    <w:basedOn w:val="Norml"/>
    <w:link w:val="SzvegtrzsChar"/>
    <w:rsid w:val="006B269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B269D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6B269D"/>
    <w:rPr>
      <w:rFonts w:cs="Times New Roman"/>
    </w:rPr>
  </w:style>
  <w:style w:type="paragraph" w:styleId="Buborkszveg">
    <w:name w:val="Balloon Text"/>
    <w:basedOn w:val="Norml"/>
    <w:semiHidden/>
    <w:rsid w:val="0017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keltete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SKIK</Company>
  <LinksUpToDate>false</LinksUpToDate>
  <CharactersWithSpaces>9787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http://www.bekeltetes.hu/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Ágnes Thurzó</cp:lastModifiedBy>
  <cp:revision>2</cp:revision>
  <cp:lastPrinted>2015-02-04T06:57:00Z</cp:lastPrinted>
  <dcterms:created xsi:type="dcterms:W3CDTF">2020-09-22T12:45:00Z</dcterms:created>
  <dcterms:modified xsi:type="dcterms:W3CDTF">2020-09-22T12:45:00Z</dcterms:modified>
</cp:coreProperties>
</file>